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B9A91B">
      <w:pPr>
        <w:spacing w:line="600" w:lineRule="exact"/>
        <w:jc w:val="center"/>
        <w:rPr>
          <w:rFonts w:ascii="仿宋" w:hAnsi="仿宋" w:eastAsia="仿宋" w:cs="微软雅黑"/>
          <w:b/>
          <w:bCs/>
          <w:sz w:val="44"/>
          <w:szCs w:val="44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</w:rPr>
        <w:t xml:space="preserve"> 成都高投盈创动力投资发展有限公司</w:t>
      </w:r>
    </w:p>
    <w:p w14:paraId="37FEB6EE">
      <w:pPr>
        <w:spacing w:line="600" w:lineRule="exact"/>
        <w:jc w:val="center"/>
        <w:rPr>
          <w:rFonts w:hint="eastAsia" w:ascii="仿宋" w:hAnsi="仿宋" w:eastAsia="仿宋" w:cs="微软雅黑"/>
          <w:b/>
          <w:bCs/>
          <w:sz w:val="44"/>
          <w:szCs w:val="44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</w:rPr>
        <w:t>算力设备服务采购</w:t>
      </w:r>
    </w:p>
    <w:p w14:paraId="12ECFD6A">
      <w:pPr>
        <w:jc w:val="center"/>
        <w:rPr>
          <w:rFonts w:ascii="方正小标宋简体" w:eastAsia="方正小标宋简体"/>
          <w:spacing w:val="-20"/>
          <w:sz w:val="44"/>
          <w:szCs w:val="44"/>
        </w:rPr>
      </w:pPr>
    </w:p>
    <w:p w14:paraId="7BFD7C9A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预</w:t>
      </w:r>
    </w:p>
    <w:p w14:paraId="242E3870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询</w:t>
      </w:r>
    </w:p>
    <w:p w14:paraId="782ADAE4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价</w:t>
      </w:r>
    </w:p>
    <w:p w14:paraId="447D9599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文</w:t>
      </w:r>
    </w:p>
    <w:p w14:paraId="01D1D966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件</w:t>
      </w:r>
    </w:p>
    <w:p w14:paraId="45DB2044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0A429601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4EE5B013">
      <w:pPr>
        <w:rPr>
          <w:rFonts w:ascii="方正小标宋简体" w:eastAsia="方正小标宋简体"/>
          <w:spacing w:val="-20"/>
          <w:sz w:val="36"/>
          <w:szCs w:val="44"/>
        </w:rPr>
      </w:pPr>
    </w:p>
    <w:p w14:paraId="7C6FE8E1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6D23F4D8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hint="eastAsia" w:ascii="方正小标宋简体" w:eastAsia="方正小标宋简体"/>
          <w:spacing w:val="-20"/>
          <w:sz w:val="36"/>
          <w:szCs w:val="44"/>
        </w:rPr>
        <w:t>6年4月</w:t>
      </w:r>
    </w:p>
    <w:p w14:paraId="64718F43">
      <w:pPr>
        <w:rPr>
          <w:rFonts w:ascii="方正小标宋简体" w:eastAsia="方正小标宋简体"/>
          <w:spacing w:val="-20"/>
          <w:sz w:val="36"/>
          <w:szCs w:val="44"/>
        </w:rPr>
      </w:pPr>
    </w:p>
    <w:p w14:paraId="35C9CC0F">
      <w:pPr>
        <w:widowControl/>
        <w:jc w:val="left"/>
        <w:rPr>
          <w:rFonts w:ascii="方正小标宋简体" w:eastAsia="方正小标宋简体"/>
          <w:spacing w:val="-20"/>
          <w:sz w:val="36"/>
          <w:szCs w:val="44"/>
        </w:rPr>
      </w:pPr>
    </w:p>
    <w:p w14:paraId="3AA12454">
      <w:pP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br w:type="page"/>
      </w:r>
    </w:p>
    <w:p w14:paraId="0703655E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一、</w:t>
      </w:r>
      <w:r>
        <w:rPr>
          <w:rFonts w:hint="eastAsia" w:ascii="仿宋_GB2312" w:hAnsi="黑体" w:eastAsia="仿宋_GB2312" w:cs="宋体"/>
          <w:b/>
          <w:bCs/>
          <w:color w:val="000000"/>
          <w:kern w:val="0"/>
          <w:sz w:val="32"/>
          <w:szCs w:val="32"/>
        </w:rPr>
        <w:t>注意事项</w:t>
      </w:r>
    </w:p>
    <w:p w14:paraId="5827485F">
      <w:pPr>
        <w:widowControl/>
        <w:spacing w:line="420" w:lineRule="atLeas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报价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单位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应就以下预询价要求，在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202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6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年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5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月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7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日下午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17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:0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时前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，向成都高投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盈创动力投资发展有限公司（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以下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简称“盈创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动力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公司”）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做出一次性书面报价。</w:t>
      </w:r>
    </w:p>
    <w:p w14:paraId="718CE693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二、预询价要求</w:t>
      </w:r>
    </w:p>
    <w:tbl>
      <w:tblPr>
        <w:tblStyle w:val="6"/>
        <w:tblW w:w="861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1"/>
        <w:gridCol w:w="1559"/>
        <w:gridCol w:w="6210"/>
      </w:tblGrid>
      <w:tr w14:paraId="2541CA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  <w:jc w:val="center"/>
        </w:trPr>
        <w:tc>
          <w:tcPr>
            <w:tcW w:w="8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DFA96">
            <w:pPr>
              <w:widowControl/>
              <w:spacing w:line="420" w:lineRule="atLeast"/>
              <w:textAlignment w:val="baseline"/>
              <w:rPr>
                <w:rFonts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350D5">
            <w:pPr>
              <w:widowControl/>
              <w:spacing w:line="420" w:lineRule="atLeast"/>
              <w:textAlignment w:val="baseline"/>
              <w:rPr>
                <w:rFonts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名  称</w:t>
            </w:r>
          </w:p>
        </w:tc>
        <w:tc>
          <w:tcPr>
            <w:tcW w:w="62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3C76E">
            <w:pPr>
              <w:widowControl/>
              <w:spacing w:line="420" w:lineRule="atLeast"/>
              <w:textAlignment w:val="baseline"/>
              <w:rPr>
                <w:rFonts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技术参数及服务要求</w:t>
            </w:r>
          </w:p>
        </w:tc>
      </w:tr>
      <w:tr w14:paraId="5A97C0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9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C1BBA">
            <w:pPr>
              <w:widowControl/>
              <w:spacing w:line="360" w:lineRule="atLeast"/>
              <w:textAlignment w:val="baseline"/>
              <w:rPr>
                <w:rFonts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12A49">
            <w:pPr>
              <w:widowControl/>
              <w:spacing w:line="360" w:lineRule="atLeast"/>
              <w:textAlignment w:val="baseline"/>
              <w:rPr>
                <w:rFonts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算力服务器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6C435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 xml:space="preserve">1、服务器外观：机架式服务器 </w:t>
            </w:r>
          </w:p>
          <w:p w14:paraId="6E820ADB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2、CPU：配置≥2颗48</w:t>
            </w: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核国产ARM处理器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，每颗CPU主频≥2.6GHz，支持双线程；</w:t>
            </w:r>
          </w:p>
          <w:p w14:paraId="0DE75917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3、内存类型：配置≥16根32GB DDR5内存，支持内存ECC保护、内存镜像、内存热备 ，ECC DDR5RDIMM ≥5600 MT/s；</w:t>
            </w:r>
          </w:p>
          <w:p w14:paraId="7F517FA0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 xml:space="preserve">4、内置硬盘：配置≥2*480GB  企业级SAS HDD硬盘；配置≥2*3.84TB NVME SSD； </w:t>
            </w:r>
          </w:p>
          <w:p w14:paraId="749A06C5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 xml:space="preserve">5、网卡：≥1块2*25GE光口普通网卡含模块；支持PXE、支持DPDK应用，支持SRIOV技术； </w:t>
            </w:r>
          </w:p>
          <w:p w14:paraId="5402B843">
            <w:pPr>
              <w:pStyle w:val="3"/>
              <w:widowControl/>
              <w:ind w:left="0" w:leftChars="0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14:ligatures w14:val="none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14:ligatures w14:val="none"/>
              </w:rPr>
              <w:t>6、AI加速卡：≥2块国产AI加速卡，单卡显存≥64GB HBM，支持</w:t>
            </w: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  <w14:ligatures w14:val="none"/>
              </w:rPr>
              <w:t>支持最高560 TOPS INT8 和 280 TFLOPS FP16算力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14:ligatures w14:val="none"/>
              </w:rPr>
              <w:t>；</w:t>
            </w:r>
          </w:p>
          <w:p w14:paraId="0763D68F">
            <w:pPr>
              <w:pStyle w:val="3"/>
              <w:widowControl/>
              <w:ind w:left="0" w:leftChars="0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14:ligatures w14:val="none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14:ligatures w14:val="none"/>
              </w:rPr>
              <w:t>7、为保证技术栈的统一性，CPU及AI加速卡处理器必须为同一品牌，不接受混搭方式；</w:t>
            </w:r>
          </w:p>
          <w:p w14:paraId="1C2AD4DD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8、PCIe I/O插槽：配置≥4个AI加速卡双宽插槽，便于后续进行AI加速卡扩容，提供产品彩页；</w:t>
            </w:r>
          </w:p>
          <w:p w14:paraId="3234DC81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9、电源：220VAC/240HVDC</w:t>
            </w:r>
            <w:bookmarkStart w:id="0" w:name="_GoBack"/>
            <w:bookmarkEnd w:id="0"/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交直流兼容电源数量≥4，电源线根据机房环境来选择，如国标/美标/C14；</w:t>
            </w:r>
          </w:p>
          <w:p w14:paraId="30FC1FE0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10、IO接口：不少于2个USB接口, 支持VGA接口;</w:t>
            </w:r>
          </w:p>
          <w:p w14:paraId="535F9423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11、冗余组件：冗余电源，支持热插拔；冗余系统风扇；</w:t>
            </w:r>
          </w:p>
          <w:p w14:paraId="14C2F2A9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12、配件：提供上架用导轨及相关配件；</w:t>
            </w:r>
          </w:p>
          <w:p w14:paraId="15E3FF1C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13、硬件诊断功能：能够对主机CPU/内存/硬盘/网卡/风扇/温度/电源等关键部件的故障诊断报警；</w:t>
            </w:r>
          </w:p>
          <w:p w14:paraId="66BE941C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14、管理维护功能:提供基于Web的远程管理控制、配备硬件监控、远程管理功能。支持IPMI2.0标准，提供远程KVM功能，提供证明材料；纳入统一运维监控系统。独立管理口100%兼容千兆或百兆交换网络，通过管理口实现远程开关机、重启、网络安装操作系统等操作；</w:t>
            </w:r>
          </w:p>
          <w:p w14:paraId="4BD974BE">
            <w:pPr>
              <w:widowControl/>
              <w:textAlignment w:val="baseline"/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15、售后服务:3年7*24小时原厂工程师带备件上门服务及故障硬盘不返还服务，提供原厂授权服务承诺函</w:t>
            </w:r>
          </w:p>
          <w:p w14:paraId="5C84F0C4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</w:p>
        </w:tc>
      </w:tr>
      <w:tr w14:paraId="568C84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5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530466">
            <w:pPr>
              <w:widowControl/>
              <w:spacing w:line="360" w:lineRule="atLeast"/>
              <w:textAlignment w:val="baseline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CAD4C">
            <w:pPr>
              <w:widowControl/>
              <w:spacing w:line="360" w:lineRule="atLeast"/>
              <w:textAlignment w:val="baseline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14D92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1、具有独立承担民事责任的能力。</w:t>
            </w:r>
          </w:p>
          <w:p w14:paraId="5289B3BA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2、具有良好的商业信誉。</w:t>
            </w:r>
          </w:p>
          <w:p w14:paraId="62F11A58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3、具有履行合同所必需的专业技术能力。</w:t>
            </w:r>
          </w:p>
        </w:tc>
      </w:tr>
      <w:tr w14:paraId="50B546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6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F627B">
            <w:pPr>
              <w:widowControl/>
              <w:spacing w:line="360" w:lineRule="atLeast"/>
              <w:textAlignment w:val="baseline"/>
              <w:rPr>
                <w:rFonts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8C08B">
            <w:pPr>
              <w:widowControl/>
              <w:spacing w:line="420" w:lineRule="atLeast"/>
              <w:textAlignment w:val="baseline"/>
              <w:rPr>
                <w:rFonts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315961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报价单位应充分考虑整个预询价过程综合多种风险因素来确定报价，一次性报价包含完成本项目的所有服务</w:t>
            </w: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、工具使用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等一切费用。</w:t>
            </w:r>
          </w:p>
        </w:tc>
      </w:tr>
    </w:tbl>
    <w:p w14:paraId="143C51B2">
      <w:pPr>
        <w:widowControl/>
        <w:spacing w:line="520" w:lineRule="exact"/>
        <w:ind w:firstLine="643" w:firstLineChars="200"/>
        <w:textAlignment w:val="baseline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color w:val="000000"/>
          <w:kern w:val="0"/>
          <w:sz w:val="32"/>
          <w:szCs w:val="32"/>
        </w:rPr>
        <w:t>注：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报价文件请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加盖公章后送盈创动力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公司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信息技术部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。</w:t>
      </w:r>
    </w:p>
    <w:p w14:paraId="66CEAF63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三、预询价报价函</w:t>
      </w:r>
    </w:p>
    <w:p w14:paraId="536CCE23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请按照给出的“预询价报价函”模式进行报价，未按模式要求的作废处理。同时与营业执照复印件（加盖公章）一同提交。</w:t>
      </w:r>
    </w:p>
    <w:p w14:paraId="63F08500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四、联系地址</w:t>
      </w:r>
    </w:p>
    <w:p w14:paraId="7D2BE554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四川省成都市高新区和乐三街与锦和路口AI创新中心D2盈创动力大厦4楼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1001703F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五、联系人及电话</w:t>
      </w:r>
    </w:p>
    <w:p w14:paraId="18F4C35C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信息技术部：王聪        电话：18180409252</w:t>
      </w:r>
    </w:p>
    <w:p w14:paraId="7766D710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</w:p>
    <w:p w14:paraId="0F185276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</w:p>
    <w:p w14:paraId="028D1C99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公司</w:t>
      </w:r>
    </w:p>
    <w:p w14:paraId="64C83FAD">
      <w:pPr>
        <w:widowControl/>
        <w:wordWrap w:val="0"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20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6年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</w:rPr>
        <w:t>4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月29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</w:rPr>
        <w:t xml:space="preserve">日    </w:t>
      </w:r>
    </w:p>
    <w:p w14:paraId="778FF9D7">
      <w:pPr>
        <w:pStyle w:val="2"/>
        <w:numPr>
          <w:ilvl w:val="1"/>
          <w:numId w:val="0"/>
        </w:numPr>
        <w:rPr>
          <w:rFonts w:ascii="仿宋_GB2312" w:hAnsi="inherit" w:eastAsia="仿宋_GB2312" w:cs="宋体"/>
          <w:kern w:val="0"/>
          <w:sz w:val="32"/>
          <w:u w:val="single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</w:rPr>
        <w:br w:type="page"/>
      </w:r>
    </w:p>
    <w:p w14:paraId="0FC74928">
      <w:pPr>
        <w:spacing w:line="600" w:lineRule="exact"/>
        <w:jc w:val="center"/>
        <w:rPr>
          <w:rFonts w:ascii="仿宋" w:hAnsi="仿宋" w:eastAsia="仿宋" w:cs="微软雅黑"/>
          <w:b/>
          <w:bCs/>
          <w:sz w:val="44"/>
          <w:szCs w:val="44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</w:rPr>
        <w:t>成都高投盈创动力投资发展有限公司</w:t>
      </w:r>
    </w:p>
    <w:p w14:paraId="1EA21052">
      <w:pPr>
        <w:jc w:val="center"/>
        <w:rPr>
          <w:rFonts w:hint="eastAsia" w:ascii="仿宋" w:hAnsi="仿宋" w:eastAsia="仿宋" w:cs="微软雅黑"/>
          <w:b/>
          <w:bCs/>
          <w:sz w:val="48"/>
          <w:szCs w:val="48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</w:rPr>
        <w:t>算力设备服务采购</w:t>
      </w:r>
    </w:p>
    <w:p w14:paraId="4A58CC97">
      <w:pPr>
        <w:rPr>
          <w:rFonts w:cs="Times New Roman"/>
          <w:szCs w:val="24"/>
        </w:rPr>
      </w:pPr>
    </w:p>
    <w:p w14:paraId="4BAD9C8A">
      <w:pPr>
        <w:jc w:val="center"/>
        <w:rPr>
          <w:rFonts w:ascii="方正小标宋简体" w:eastAsia="方正小标宋简体" w:cs="Times New Roman"/>
          <w:spacing w:val="-20"/>
          <w:sz w:val="72"/>
          <w:szCs w:val="40"/>
        </w:rPr>
      </w:pPr>
      <w:r>
        <w:rPr>
          <w:rFonts w:hint="eastAsia" w:ascii="方正小标宋简体" w:eastAsia="方正小标宋简体" w:cs="Times New Roman"/>
          <w:spacing w:val="-20"/>
          <w:sz w:val="72"/>
          <w:szCs w:val="40"/>
        </w:rPr>
        <w:t>预</w:t>
      </w:r>
    </w:p>
    <w:p w14:paraId="5E5B323F">
      <w:pPr>
        <w:jc w:val="center"/>
        <w:rPr>
          <w:rFonts w:ascii="方正小标宋简体" w:eastAsia="方正小标宋简体" w:cs="Times New Roman"/>
          <w:spacing w:val="-20"/>
          <w:sz w:val="72"/>
          <w:szCs w:val="40"/>
        </w:rPr>
      </w:pPr>
      <w:r>
        <w:rPr>
          <w:rFonts w:hint="eastAsia" w:ascii="方正小标宋简体" w:eastAsia="方正小标宋简体" w:cs="Times New Roman"/>
          <w:spacing w:val="-20"/>
          <w:sz w:val="72"/>
          <w:szCs w:val="40"/>
        </w:rPr>
        <w:t>询</w:t>
      </w:r>
    </w:p>
    <w:p w14:paraId="6BA38C1A">
      <w:pPr>
        <w:jc w:val="center"/>
        <w:rPr>
          <w:rFonts w:ascii="方正小标宋简体" w:eastAsia="方正小标宋简体" w:cs="Times New Roman"/>
          <w:spacing w:val="-20"/>
          <w:sz w:val="72"/>
          <w:szCs w:val="40"/>
        </w:rPr>
      </w:pPr>
      <w:r>
        <w:rPr>
          <w:rFonts w:hint="eastAsia" w:ascii="方正小标宋简体" w:eastAsia="方正小标宋简体" w:cs="Times New Roman"/>
          <w:spacing w:val="-20"/>
          <w:sz w:val="72"/>
          <w:szCs w:val="40"/>
        </w:rPr>
        <w:t>价</w:t>
      </w:r>
    </w:p>
    <w:p w14:paraId="7C42ACE4">
      <w:pPr>
        <w:jc w:val="center"/>
        <w:rPr>
          <w:rFonts w:ascii="方正小标宋简体" w:eastAsia="方正小标宋简体" w:cs="Times New Roman"/>
          <w:spacing w:val="-20"/>
          <w:sz w:val="72"/>
          <w:szCs w:val="40"/>
        </w:rPr>
      </w:pPr>
      <w:r>
        <w:rPr>
          <w:rFonts w:hint="eastAsia" w:ascii="方正小标宋简体" w:eastAsia="方正小标宋简体" w:cs="Times New Roman"/>
          <w:spacing w:val="-20"/>
          <w:sz w:val="72"/>
          <w:szCs w:val="40"/>
        </w:rPr>
        <w:t>报</w:t>
      </w:r>
    </w:p>
    <w:p w14:paraId="24EF92F4">
      <w:pPr>
        <w:jc w:val="center"/>
        <w:rPr>
          <w:rFonts w:ascii="方正小标宋简体" w:eastAsia="方正小标宋简体" w:cs="Times New Roman"/>
          <w:spacing w:val="-20"/>
          <w:sz w:val="72"/>
          <w:szCs w:val="40"/>
        </w:rPr>
      </w:pPr>
      <w:r>
        <w:rPr>
          <w:rFonts w:hint="eastAsia" w:ascii="方正小标宋简体" w:eastAsia="方正小标宋简体" w:cs="Times New Roman"/>
          <w:spacing w:val="-20"/>
          <w:sz w:val="72"/>
          <w:szCs w:val="40"/>
        </w:rPr>
        <w:t>价</w:t>
      </w:r>
    </w:p>
    <w:p w14:paraId="15E55251">
      <w:pPr>
        <w:jc w:val="center"/>
        <w:rPr>
          <w:rFonts w:ascii="方正小标宋简体" w:eastAsia="方正小标宋简体" w:cs="Times New Roman"/>
          <w:spacing w:val="-20"/>
          <w:sz w:val="96"/>
          <w:szCs w:val="44"/>
        </w:rPr>
      </w:pPr>
      <w:r>
        <w:rPr>
          <w:rFonts w:hint="eastAsia" w:ascii="方正小标宋简体" w:eastAsia="方正小标宋简体" w:cs="Times New Roman"/>
          <w:spacing w:val="-20"/>
          <w:sz w:val="72"/>
          <w:szCs w:val="40"/>
        </w:rPr>
        <w:t>函</w:t>
      </w:r>
    </w:p>
    <w:p w14:paraId="19939F55">
      <w:pPr>
        <w:rPr>
          <w:rFonts w:hint="eastAsia" w:ascii="仿宋" w:hAnsi="仿宋" w:eastAsia="仿宋" w:cs="微软雅黑"/>
          <w:caps/>
          <w:sz w:val="44"/>
          <w:szCs w:val="44"/>
        </w:rPr>
      </w:pPr>
    </w:p>
    <w:p w14:paraId="4F54324E">
      <w:pPr>
        <w:rPr>
          <w:rFonts w:hint="eastAsia" w:ascii="仿宋" w:hAnsi="仿宋" w:eastAsia="仿宋" w:cs="微软雅黑"/>
          <w:caps/>
          <w:sz w:val="32"/>
          <w:szCs w:val="32"/>
        </w:rPr>
      </w:pPr>
    </w:p>
    <w:p w14:paraId="6C1ABD8A">
      <w:pPr>
        <w:rPr>
          <w:rFonts w:hint="eastAsia" w:ascii="仿宋" w:hAnsi="仿宋" w:eastAsia="仿宋" w:cs="微软雅黑"/>
          <w:caps/>
          <w:sz w:val="32"/>
          <w:szCs w:val="32"/>
        </w:rPr>
      </w:pPr>
      <w:r>
        <w:rPr>
          <w:rFonts w:hint="eastAsia" w:ascii="仿宋" w:hAnsi="仿宋" w:eastAsia="仿宋" w:cs="微软雅黑"/>
          <w:b/>
          <w:bCs/>
          <w:sz w:val="32"/>
          <w:szCs w:val="32"/>
        </w:rPr>
        <w:t>单位名称（盖章）：</w:t>
      </w:r>
    </w:p>
    <w:p w14:paraId="2052105B">
      <w:pPr>
        <w:widowControl/>
        <w:jc w:val="left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  <w:br w:type="page"/>
      </w:r>
    </w:p>
    <w:p w14:paraId="09D7928E">
      <w:pPr>
        <w:spacing w:line="600" w:lineRule="exact"/>
        <w:jc w:val="center"/>
        <w:rPr>
          <w:rFonts w:ascii="仿宋" w:hAnsi="仿宋" w:eastAsia="仿宋" w:cs="微软雅黑"/>
          <w:b/>
          <w:bCs/>
          <w:sz w:val="44"/>
          <w:szCs w:val="44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</w:rPr>
        <w:t>成都高投盈创动力投资发展有限公司</w:t>
      </w:r>
    </w:p>
    <w:p w14:paraId="09D4880E">
      <w:pPr>
        <w:spacing w:line="600" w:lineRule="exact"/>
        <w:jc w:val="center"/>
        <w:rPr>
          <w:rFonts w:hint="eastAsia" w:ascii="仿宋" w:hAnsi="仿宋" w:eastAsia="仿宋" w:cs="微软雅黑"/>
          <w:b/>
          <w:bCs/>
          <w:sz w:val="44"/>
          <w:szCs w:val="44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</w:rPr>
        <w:t>算力设备服务采购</w:t>
      </w:r>
    </w:p>
    <w:tbl>
      <w:tblPr>
        <w:tblStyle w:val="6"/>
        <w:tblW w:w="91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6"/>
        <w:gridCol w:w="6012"/>
        <w:gridCol w:w="1768"/>
      </w:tblGrid>
      <w:tr w14:paraId="47A6C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1266F484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7780" w:type="dxa"/>
            <w:gridSpan w:val="2"/>
            <w:shd w:val="clear" w:color="auto" w:fill="auto"/>
            <w:vAlign w:val="center"/>
          </w:tcPr>
          <w:p w14:paraId="1E1129E5">
            <w:pPr>
              <w:widowControl/>
              <w:spacing w:line="360" w:lineRule="auto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成都高投盈创动力投资发展有限公司算力设备服务采购</w:t>
            </w:r>
          </w:p>
        </w:tc>
      </w:tr>
      <w:tr w14:paraId="08ECB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66C0B1D1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6C9B586B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768" w:type="dxa"/>
            <w:shd w:val="clear" w:color="auto" w:fill="auto"/>
            <w:vAlign w:val="center"/>
          </w:tcPr>
          <w:p w14:paraId="616F0E0A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报价：</w:t>
            </w:r>
          </w:p>
          <w:p w14:paraId="1BC1578C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单位：万元</w:t>
            </w:r>
          </w:p>
        </w:tc>
      </w:tr>
      <w:tr w14:paraId="0E5F4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1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4588F848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算力服务器技术参数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5F7D61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 xml:space="preserve">1、服务器外观：机架式服务器 </w:t>
            </w:r>
          </w:p>
          <w:p w14:paraId="680D65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★2、CPU：配置≥2颗48核国产ARM处理器，每颗CPU主频≥2.6GHz，支持双线程；</w:t>
            </w:r>
          </w:p>
          <w:p w14:paraId="64F556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★3、内存类型：配置≥16根32GB DDR5内存，支持内存ECC保护、内存镜像、内存热备 ，ECC DDR5RDIMM ≥5600 MT/s；</w:t>
            </w:r>
          </w:p>
          <w:p w14:paraId="32FDB6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 xml:space="preserve">★4、内置硬盘：配置≥2*480GB  企业级SAS HDD硬盘；配置≥2*3.84TB NVME SSD； </w:t>
            </w:r>
          </w:p>
          <w:p w14:paraId="4A475D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 xml:space="preserve">★5、网卡：≥1块2*25GE光口普通网卡含模块；支持PXE、支持DPDK应用，支持SRIOV技术； </w:t>
            </w:r>
          </w:p>
          <w:p w14:paraId="2EC87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★6、AI加速卡：≥2块国产AI加速卡，单卡显存≥64GB HBM，支持支持最高560 TOPS INT8 和 280 TFLOPS FP16算力；</w:t>
            </w:r>
          </w:p>
          <w:p w14:paraId="5BF2F0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★7、为保证技术栈的统一性，CPU及AI加速卡处理器必须为同一品牌，不接受混搭方式；</w:t>
            </w:r>
          </w:p>
          <w:p w14:paraId="120F71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8、PCIe I/O插槽：配置≥4个AI加速卡双宽插槽，便于后续进行AI加速卡扩容，提供产品彩页；</w:t>
            </w:r>
          </w:p>
          <w:p w14:paraId="7572E7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9、电源：220VAC/240HVDC交直流兼容电源数量≥4，电源线根据机房环境来选择，如国标/美标/C14；</w:t>
            </w:r>
          </w:p>
          <w:p w14:paraId="54218F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10、IO接口：不少于2个USB接口, 支持VGA接口;</w:t>
            </w:r>
          </w:p>
          <w:p w14:paraId="268B29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11、冗余组件：冗余电源，支持热插拔；冗余系统风扇；</w:t>
            </w:r>
          </w:p>
          <w:p w14:paraId="43CF3A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12、配件：提供上架用导轨及相关配件；</w:t>
            </w:r>
          </w:p>
          <w:p w14:paraId="7FF493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13、硬件诊断功能：能够对主机CPU/内存/硬盘/网卡/风扇/温度/电源等关键部件的故障诊断报警；</w:t>
            </w:r>
          </w:p>
          <w:p w14:paraId="64C75A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14、管理维护功能:提供基于Web的远程管理控制、配备硬件监控、远程管理功能。支持IPMI2.0标准，提供远程KVM功能，提供证明材料；纳入统一运维监控系统。独立管理口100%兼容千兆或百兆交换网络，通过管理口实现远程开关机、重启、网络安装操作系统等操作；</w:t>
            </w:r>
          </w:p>
          <w:p w14:paraId="4ED51A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★15、售后服务:3年7*24小时原厂工程师带备件上门服务及故障硬盘不返还服务，提供原厂授权服务承诺函</w:t>
            </w:r>
          </w:p>
          <w:p w14:paraId="04905A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（备注：带★不允许负偏离）</w:t>
            </w:r>
          </w:p>
        </w:tc>
        <w:tc>
          <w:tcPr>
            <w:tcW w:w="1768" w:type="dxa"/>
            <w:shd w:val="clear" w:color="auto" w:fill="auto"/>
            <w:vAlign w:val="center"/>
          </w:tcPr>
          <w:p w14:paraId="29E8D17C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723FC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0584429F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总价（万元）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4280DD79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*****万元（大写：*****）</w:t>
            </w:r>
          </w:p>
        </w:tc>
        <w:tc>
          <w:tcPr>
            <w:tcW w:w="1768" w:type="dxa"/>
            <w:shd w:val="clear" w:color="auto" w:fill="auto"/>
            <w:vAlign w:val="center"/>
          </w:tcPr>
          <w:p w14:paraId="5A7E8EAC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</w:p>
        </w:tc>
      </w:tr>
    </w:tbl>
    <w:p w14:paraId="590EBA3B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</w:p>
    <w:p w14:paraId="4A95E5CD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单位名称（盖章）：</w:t>
      </w:r>
    </w:p>
    <w:p w14:paraId="5745DAC2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法定代表人或授权代表签字（签字或盖章）：</w:t>
      </w:r>
    </w:p>
    <w:p w14:paraId="38A65518">
      <w:pPr>
        <w:spacing w:line="360" w:lineRule="auto"/>
      </w:pPr>
      <w:r>
        <w:rPr>
          <w:rFonts w:hint="eastAsia" w:ascii="仿宋" w:hAnsi="仿宋" w:eastAsia="仿宋" w:cs="Times New Roman"/>
          <w:bCs/>
          <w:sz w:val="28"/>
          <w:szCs w:val="28"/>
        </w:rPr>
        <w:t>日期：2026年x月xx日</w:t>
      </w: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AFF0091-AA06-4458-A4CC-A05676726EA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PMingLiU">
    <w:altName w:val="Microsoft JhengHei UI"/>
    <w:panose1 w:val="02010601000101010101"/>
    <w:charset w:val="88"/>
    <w:family w:val="roman"/>
    <w:pitch w:val="default"/>
    <w:sig w:usb0="00000000" w:usb1="00000000" w:usb2="00000016" w:usb3="00000000" w:csb0="00100001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8E4F0365-5048-4FA4-A9FF-B8B5300BF281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3" w:fontKey="{7077F11A-0F74-4076-841F-C466785F5394}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9F1BCCB5-7BC7-4453-B5D7-196D126A24F6}"/>
  </w:font>
  <w:font w:name="inherit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  <w:embedRegular r:id="rId5" w:fontKey="{57298EA5-0D29-4FBD-A088-5073F3760746}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A2F4AB3"/>
    <w:multiLevelType w:val="multilevel"/>
    <w:tmpl w:val="6A2F4AB3"/>
    <w:lvl w:ilvl="0" w:tentative="0">
      <w:start w:val="1"/>
      <w:numFmt w:val="chineseCountingThousand"/>
      <w:suff w:val="nothing"/>
      <w:lvlText w:val="%1、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pStyle w:val="2"/>
      <w:isLgl/>
      <w:suff w:val="nothing"/>
      <w:lvlText w:val="%1.%2、"/>
      <w:lvlJc w:val="left"/>
      <w:pPr>
        <w:ind w:left="567" w:hanging="567"/>
      </w:pPr>
      <w:rPr>
        <w:rFonts w:hint="default" w:ascii="Times New Roman" w:hAnsi="Times New Roman" w:cs="Times New Roman"/>
      </w:rPr>
    </w:lvl>
    <w:lvl w:ilvl="2" w:tentative="0">
      <w:start w:val="1"/>
      <w:numFmt w:val="decimal"/>
      <w:isLgl/>
      <w:suff w:val="nothing"/>
      <w:lvlText w:val="%1.%2.%3、"/>
      <w:lvlJc w:val="left"/>
      <w:pPr>
        <w:ind w:left="1069" w:hanging="1069"/>
      </w:pPr>
      <w:rPr>
        <w:rFonts w:hint="eastAsia"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3" w:tentative="0">
      <w:start w:val="1"/>
      <w:numFmt w:val="decimal"/>
      <w:isLgl/>
      <w:suff w:val="nothing"/>
      <w:lvlText w:val="%1.%2.%3.%4、"/>
      <w:lvlJc w:val="left"/>
      <w:pPr>
        <w:ind w:left="851" w:hanging="851"/>
      </w:pPr>
      <w:rPr>
        <w:rFonts w:hint="default" w:ascii="Times New Roman" w:hAnsi="Times New Roman" w:eastAsia="宋体" w:cs="Times New Roman"/>
        <w:sz w:val="24"/>
        <w:szCs w:val="24"/>
      </w:rPr>
    </w:lvl>
    <w:lvl w:ilvl="4" w:tentative="0">
      <w:start w:val="1"/>
      <w:numFmt w:val="decimal"/>
      <w:isLgl/>
      <w:suff w:val="nothing"/>
      <w:lvlText w:val="%1.%2.%3.%4.%5、"/>
      <w:lvlJc w:val="left"/>
      <w:pPr>
        <w:ind w:left="992" w:hanging="992"/>
      </w:pPr>
      <w:rPr>
        <w:rFonts w:hint="eastAsia"/>
      </w:rPr>
    </w:lvl>
    <w:lvl w:ilvl="5" w:tentative="0">
      <w:start w:val="1"/>
      <w:numFmt w:val="decimal"/>
      <w:isLgl/>
      <w:suff w:val="nothing"/>
      <w:lvlText w:val="%1.%2.%3.%4.%5.%6、"/>
      <w:lvlJc w:val="left"/>
      <w:pPr>
        <w:ind w:left="1134" w:hanging="1134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isLgl/>
      <w:lvlText w:val="%1.%2.%3.%4.%5.%6.%7"/>
      <w:lvlJc w:val="left"/>
      <w:pPr>
        <w:tabs>
          <w:tab w:val="left" w:pos="1800"/>
        </w:tabs>
        <w:ind w:left="1276" w:hanging="1276"/>
      </w:pPr>
      <w:rPr>
        <w:rFonts w:hint="eastAsia"/>
      </w:rPr>
    </w:lvl>
    <w:lvl w:ilvl="7" w:tentative="0">
      <w:start w:val="1"/>
      <w:numFmt w:val="decimal"/>
      <w:isLgl/>
      <w:lvlText w:val="%1.%2.%3.%4.%5.%6.%7.%8"/>
      <w:lvlJc w:val="left"/>
      <w:pPr>
        <w:tabs>
          <w:tab w:val="left" w:pos="1800"/>
        </w:tabs>
        <w:ind w:left="1418" w:hanging="1418"/>
      </w:pPr>
      <w:rPr>
        <w:rFonts w:hint="eastAsia"/>
      </w:rPr>
    </w:lvl>
    <w:lvl w:ilvl="8" w:tentative="0">
      <w:start w:val="1"/>
      <w:numFmt w:val="decimal"/>
      <w:isLgl/>
      <w:lvlText w:val="%1.%2.%3.%4.%5.%6.%7.%8.%9"/>
      <w:lvlJc w:val="left"/>
      <w:pPr>
        <w:tabs>
          <w:tab w:val="left" w:pos="2160"/>
        </w:tabs>
        <w:ind w:left="1559" w:hanging="1559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FFF6736"/>
    <w:rsid w:val="00057230"/>
    <w:rsid w:val="0014459A"/>
    <w:rsid w:val="0015078A"/>
    <w:rsid w:val="00157614"/>
    <w:rsid w:val="001C2950"/>
    <w:rsid w:val="002C7CF2"/>
    <w:rsid w:val="00362862"/>
    <w:rsid w:val="003D2D0A"/>
    <w:rsid w:val="004042B8"/>
    <w:rsid w:val="005075F1"/>
    <w:rsid w:val="005B559F"/>
    <w:rsid w:val="005B60C5"/>
    <w:rsid w:val="00822B90"/>
    <w:rsid w:val="008F1D9D"/>
    <w:rsid w:val="00982B28"/>
    <w:rsid w:val="00A569F4"/>
    <w:rsid w:val="00A862BC"/>
    <w:rsid w:val="00A96826"/>
    <w:rsid w:val="00B00352"/>
    <w:rsid w:val="00B86C35"/>
    <w:rsid w:val="00B95DF4"/>
    <w:rsid w:val="00BA1C0A"/>
    <w:rsid w:val="00DB430D"/>
    <w:rsid w:val="00EA10F9"/>
    <w:rsid w:val="00EE0522"/>
    <w:rsid w:val="00FA641B"/>
    <w:rsid w:val="042E7D7A"/>
    <w:rsid w:val="068725B4"/>
    <w:rsid w:val="10983F1A"/>
    <w:rsid w:val="149BC98C"/>
    <w:rsid w:val="16BF78F4"/>
    <w:rsid w:val="1BFE8218"/>
    <w:rsid w:val="1CFE8FC6"/>
    <w:rsid w:val="287F1513"/>
    <w:rsid w:val="377BA3D6"/>
    <w:rsid w:val="377FCF75"/>
    <w:rsid w:val="37FE1EF2"/>
    <w:rsid w:val="386C091E"/>
    <w:rsid w:val="39104059"/>
    <w:rsid w:val="3DFF6853"/>
    <w:rsid w:val="3EF5CE12"/>
    <w:rsid w:val="3F535491"/>
    <w:rsid w:val="3FA34547"/>
    <w:rsid w:val="3FFE7207"/>
    <w:rsid w:val="3FFF1ABF"/>
    <w:rsid w:val="3FFF6736"/>
    <w:rsid w:val="486736C3"/>
    <w:rsid w:val="4AFDF7ED"/>
    <w:rsid w:val="4DFE0366"/>
    <w:rsid w:val="567BD31A"/>
    <w:rsid w:val="5B795D0E"/>
    <w:rsid w:val="5BF5A489"/>
    <w:rsid w:val="5D5291D1"/>
    <w:rsid w:val="5DCA2F60"/>
    <w:rsid w:val="63E7A18D"/>
    <w:rsid w:val="67614E7D"/>
    <w:rsid w:val="68FFBAC2"/>
    <w:rsid w:val="6AAC73A7"/>
    <w:rsid w:val="6DFB966F"/>
    <w:rsid w:val="6EFD7881"/>
    <w:rsid w:val="6FD5836D"/>
    <w:rsid w:val="6FFF5CD8"/>
    <w:rsid w:val="71677131"/>
    <w:rsid w:val="72DF037C"/>
    <w:rsid w:val="747B29EC"/>
    <w:rsid w:val="74BFE0CE"/>
    <w:rsid w:val="75292D9A"/>
    <w:rsid w:val="7537303E"/>
    <w:rsid w:val="778F81AE"/>
    <w:rsid w:val="77BFB454"/>
    <w:rsid w:val="77C568C0"/>
    <w:rsid w:val="78FDDD8D"/>
    <w:rsid w:val="7991FCF1"/>
    <w:rsid w:val="7BDB099C"/>
    <w:rsid w:val="7D2B16EE"/>
    <w:rsid w:val="7D3E1424"/>
    <w:rsid w:val="7DE3BD80"/>
    <w:rsid w:val="7E5CB0D5"/>
    <w:rsid w:val="7E60532D"/>
    <w:rsid w:val="7EFF3C88"/>
    <w:rsid w:val="7F237504"/>
    <w:rsid w:val="7F3FFFF6"/>
    <w:rsid w:val="7FD5C647"/>
    <w:rsid w:val="7FEEF73E"/>
    <w:rsid w:val="7FF7F848"/>
    <w:rsid w:val="7FFA84A1"/>
    <w:rsid w:val="7FFE6743"/>
    <w:rsid w:val="A61BAAF0"/>
    <w:rsid w:val="A99D6C8D"/>
    <w:rsid w:val="AAEFBE22"/>
    <w:rsid w:val="AC4B3A0B"/>
    <w:rsid w:val="ADD815D2"/>
    <w:rsid w:val="AF976BCA"/>
    <w:rsid w:val="B77FAD74"/>
    <w:rsid w:val="BDD7AB69"/>
    <w:rsid w:val="BF7FE3D9"/>
    <w:rsid w:val="BFCFE755"/>
    <w:rsid w:val="BFFAAEFA"/>
    <w:rsid w:val="C7BAA2B7"/>
    <w:rsid w:val="CDDF81AE"/>
    <w:rsid w:val="CE7E2965"/>
    <w:rsid w:val="CF774068"/>
    <w:rsid w:val="D379676F"/>
    <w:rsid w:val="D3F69D1C"/>
    <w:rsid w:val="D9FFC87A"/>
    <w:rsid w:val="DCAFF3FD"/>
    <w:rsid w:val="DEF671C2"/>
    <w:rsid w:val="DF8D9E57"/>
    <w:rsid w:val="DFFF0208"/>
    <w:rsid w:val="E34FD5C1"/>
    <w:rsid w:val="E5FAD203"/>
    <w:rsid w:val="EDFF0607"/>
    <w:rsid w:val="EDFFDFEB"/>
    <w:rsid w:val="EE7FAC1A"/>
    <w:rsid w:val="EFD6FC63"/>
    <w:rsid w:val="EFDE694A"/>
    <w:rsid w:val="EFF757F5"/>
    <w:rsid w:val="F1FD5D99"/>
    <w:rsid w:val="F26FC7B3"/>
    <w:rsid w:val="F4BBAACD"/>
    <w:rsid w:val="F5FA0AD8"/>
    <w:rsid w:val="F6DB6CE2"/>
    <w:rsid w:val="F76F05A0"/>
    <w:rsid w:val="F77F0679"/>
    <w:rsid w:val="F79BA4D6"/>
    <w:rsid w:val="F7FB9C3B"/>
    <w:rsid w:val="FB9F7039"/>
    <w:rsid w:val="FDBC0D05"/>
    <w:rsid w:val="FDF60032"/>
    <w:rsid w:val="FF2E4B39"/>
    <w:rsid w:val="FF4FAC47"/>
    <w:rsid w:val="FFD79CE5"/>
    <w:rsid w:val="FFF17A99"/>
    <w:rsid w:val="FFF6EED1"/>
    <w:rsid w:val="FFF790F9"/>
    <w:rsid w:val="FFFF1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120" w:after="120" w:line="360" w:lineRule="auto"/>
      <w:outlineLvl w:val="1"/>
    </w:pPr>
    <w:rPr>
      <w:rFonts w:eastAsia="宋体"/>
      <w:b/>
      <w:bCs/>
      <w:sz w:val="30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link w:val="15"/>
    <w:unhideWhenUsed/>
    <w:qFormat/>
    <w:uiPriority w:val="99"/>
    <w:pPr>
      <w:spacing w:after="120"/>
      <w:ind w:left="420" w:leftChars="200"/>
    </w:pPr>
    <w:rPr>
      <w:szCs w:val="21"/>
      <w14:ligatures w14:val="standardContextual"/>
    </w:rPr>
  </w:style>
  <w:style w:type="paragraph" w:styleId="4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Body text|41"/>
    <w:basedOn w:val="1"/>
    <w:link w:val="10"/>
    <w:qFormat/>
    <w:uiPriority w:val="0"/>
    <w:pPr>
      <w:shd w:val="clear" w:color="auto" w:fill="FFFFFF"/>
      <w:spacing w:before="260" w:after="260" w:line="280" w:lineRule="exact"/>
      <w:ind w:hanging="1320"/>
      <w:jc w:val="center"/>
    </w:pPr>
    <w:rPr>
      <w:rFonts w:ascii="PMingLiU" w:hAnsi="PMingLiU" w:eastAsia="PMingLiU" w:cs="PMingLiU"/>
      <w:spacing w:val="40"/>
      <w:sz w:val="28"/>
      <w:szCs w:val="28"/>
    </w:rPr>
  </w:style>
  <w:style w:type="character" w:customStyle="1" w:styleId="9">
    <w:name w:val="Body text|4 + Spacing 7 pt"/>
    <w:basedOn w:val="10"/>
    <w:semiHidden/>
    <w:unhideWhenUsed/>
    <w:qFormat/>
    <w:uiPriority w:val="0"/>
    <w:rPr>
      <w:rFonts w:ascii="PMingLiU" w:hAnsi="PMingLiU" w:eastAsia="PMingLiU" w:cs="PMingLiU"/>
      <w:color w:val="000000"/>
      <w:spacing w:val="150"/>
      <w:w w:val="100"/>
      <w:position w:val="0"/>
      <w:sz w:val="28"/>
      <w:szCs w:val="28"/>
      <w:u w:val="none"/>
      <w:lang w:val="zh-CN" w:eastAsia="zh-CN" w:bidi="zh-CN"/>
    </w:rPr>
  </w:style>
  <w:style w:type="character" w:customStyle="1" w:styleId="10">
    <w:name w:val="Body text|4_"/>
    <w:basedOn w:val="7"/>
    <w:link w:val="8"/>
    <w:qFormat/>
    <w:uiPriority w:val="0"/>
    <w:rPr>
      <w:rFonts w:ascii="PMingLiU" w:hAnsi="PMingLiU" w:eastAsia="PMingLiU" w:cs="PMingLiU"/>
      <w:spacing w:val="40"/>
      <w:sz w:val="28"/>
      <w:szCs w:val="28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12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3">
    <w:name w:val="页眉 字符"/>
    <w:basedOn w:val="7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页脚 字符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正文文本缩进 字符"/>
    <w:basedOn w:val="7"/>
    <w:link w:val="3"/>
    <w:qFormat/>
    <w:uiPriority w:val="99"/>
    <w:rPr>
      <w:rFonts w:asciiTheme="minorHAnsi" w:hAnsiTheme="minorHAnsi" w:eastAsiaTheme="minorEastAsia" w:cstheme="minorBidi"/>
      <w:kern w:val="2"/>
      <w:sz w:val="21"/>
      <w:szCs w:val="21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1789</Words>
  <Characters>2137</Characters>
  <Lines>16</Lines>
  <Paragraphs>4</Paragraphs>
  <TotalTime>37</TotalTime>
  <ScaleCrop>false</ScaleCrop>
  <LinksUpToDate>false</LinksUpToDate>
  <CharactersWithSpaces>2196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2026-04-29T02:07:00Z</dcterms:created>
  <dc:creator>dlc</dc:creator>
  <cp:lastModifiedBy>莫放</cp:lastModifiedBy>
  <dcterms:modified xsi:type="dcterms:W3CDTF">2026-04-29T06:14:05Z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6B99BD897F7742748A356C56537B67B3_13</vt:lpwstr>
  </property>
  <property fmtid="{D5CDD505-2E9C-101B-9397-08002B2CF9AE}" pid="4" name="KSOTemplateDocerSaveRecord">
    <vt:lpwstr>eyJoZGlkIjoiOWExMGI5YWM0YTcwZjQ5ZmU2Mzc0NzZkOGYzMTY1NmQiLCJ1c2VySWQiOiIyMzA1MDAwNCJ9</vt:lpwstr>
  </property>
</Properties>
</file>